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25" w:rsidRDefault="00D26A25" w:rsidP="00D26A25">
      <w:pPr>
        <w:pStyle w:val="a6"/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D26A25">
        <w:rPr>
          <w:color w:val="000000"/>
          <w:sz w:val="28"/>
          <w:szCs w:val="28"/>
        </w:rPr>
        <w:t>«</w:t>
      </w:r>
      <w:r w:rsidRPr="00D26A25">
        <w:rPr>
          <w:b/>
          <w:bCs/>
          <w:color w:val="000000"/>
          <w:sz w:val="28"/>
          <w:szCs w:val="28"/>
        </w:rPr>
        <w:t>Добровільне виконання рішень про стягнення періодичних платежів»</w:t>
      </w:r>
    </w:p>
    <w:bookmarkEnd w:id="0"/>
    <w:p w:rsidR="00D26A25" w:rsidRPr="00D26A25" w:rsidRDefault="00D26A25" w:rsidP="00D26A25">
      <w:pPr>
        <w:pStyle w:val="a6"/>
        <w:spacing w:after="0"/>
        <w:jc w:val="center"/>
        <w:rPr>
          <w:sz w:val="28"/>
          <w:szCs w:val="28"/>
        </w:rPr>
      </w:pP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На сьогодні </w:t>
      </w:r>
      <w:r>
        <w:rPr>
          <w:color w:val="000000"/>
          <w:sz w:val="28"/>
          <w:szCs w:val="28"/>
        </w:rPr>
        <w:t>Законом України «Про виконавче провадження»</w:t>
      </w:r>
      <w:r w:rsidRPr="00D26A25">
        <w:rPr>
          <w:color w:val="000000"/>
          <w:sz w:val="28"/>
          <w:szCs w:val="28"/>
        </w:rPr>
        <w:t xml:space="preserve"> (далі — Закон) врегульовано порядок добровільного виконання рішень про стягнення періодичних платежів.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Статтею 7 Закону визначено, що в</w:t>
      </w:r>
      <w:r w:rsidRPr="00D26A25">
        <w:rPr>
          <w:rStyle w:val="a4"/>
          <w:i w:val="0"/>
          <w:iCs w:val="0"/>
          <w:color w:val="000000"/>
          <w:sz w:val="28"/>
          <w:szCs w:val="28"/>
        </w:rPr>
        <w:t xml:space="preserve">иконавчий документ про стягнення періодичних платежів може бути самостійно надісланий </w:t>
      </w:r>
      <w:proofErr w:type="spellStart"/>
      <w:r w:rsidRPr="00D26A25">
        <w:rPr>
          <w:rStyle w:val="a4"/>
          <w:i w:val="0"/>
          <w:iCs w:val="0"/>
          <w:color w:val="000000"/>
          <w:sz w:val="28"/>
          <w:szCs w:val="28"/>
        </w:rPr>
        <w:t>стягувачем</w:t>
      </w:r>
      <w:proofErr w:type="spellEnd"/>
      <w:r w:rsidRPr="00D26A25">
        <w:rPr>
          <w:rStyle w:val="a4"/>
          <w:i w:val="0"/>
          <w:iCs w:val="0"/>
          <w:color w:val="000000"/>
          <w:sz w:val="28"/>
          <w:szCs w:val="28"/>
        </w:rPr>
        <w:t xml:space="preserve"> безпосередньо підприємству, установі, організації, фізичній особі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Pr="00D26A25">
        <w:rPr>
          <w:rStyle w:val="a4"/>
          <w:i w:val="0"/>
          <w:iCs w:val="0"/>
          <w:color w:val="000000"/>
          <w:sz w:val="28"/>
          <w:szCs w:val="28"/>
        </w:rPr>
        <w:t>—підприємцю, фізичній особі, які виплачують боржнику відповідно заробітну плату, пенсію, стипендію та інші доходи.</w:t>
      </w:r>
    </w:p>
    <w:p w:rsidR="00D26A25" w:rsidRDefault="00D26A25" w:rsidP="00D26A25">
      <w:pPr>
        <w:pStyle w:val="a6"/>
        <w:spacing w:before="0" w:beforeAutospacing="0" w:after="0"/>
        <w:ind w:firstLine="567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Одночасно з виконавчим документом стягувач подає заяву, в якій зазначаються:</w:t>
      </w:r>
    </w:p>
    <w:p w:rsidR="00D26A25" w:rsidRDefault="00D26A25" w:rsidP="00D26A25">
      <w:pPr>
        <w:pStyle w:val="a6"/>
        <w:spacing w:before="0" w:beforeAutospacing="0" w:after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6A25">
        <w:rPr>
          <w:color w:val="000000"/>
          <w:sz w:val="28"/>
          <w:szCs w:val="28"/>
        </w:rPr>
        <w:t>реквізити банківського рахунка, на який слід перераховувати кошти;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6A25">
        <w:rPr>
          <w:color w:val="000000"/>
          <w:sz w:val="28"/>
          <w:szCs w:val="28"/>
        </w:rPr>
        <w:t>прізвище, ім’я, по батькові стягувача, реквізити документа, що посвідчує його особу.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У разі наявності заборгованості за виконавчими документами про стягнення періодичних платежів або заперечення її розміру боржником, стягувач має право пред’явити виконавчий документ для примусового виконання.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Підприємства, установи, організації, фізичні особи</w:t>
      </w:r>
      <w:r>
        <w:rPr>
          <w:color w:val="000000"/>
          <w:sz w:val="28"/>
          <w:szCs w:val="28"/>
        </w:rPr>
        <w:t xml:space="preserve"> </w:t>
      </w:r>
      <w:r w:rsidRPr="00D26A25">
        <w:rPr>
          <w:color w:val="000000"/>
          <w:sz w:val="28"/>
          <w:szCs w:val="28"/>
        </w:rPr>
        <w:t>– підприємці та фізичні особи за заявою стягувача зобов’язані здійснювати відрахування із заробітної плати, пенсії, стипендії та інших доходів боржника у розмірі, визначеному виконавчим документом, з урахуванням положень статті 70 цього Закону.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Стосовно строків пред’явлення виконавчих документів до виконання — виконавчий документ про стягнення періодичних платежів у справах про стягнення аліментів, відшкодування шкоди, заподіяної внаслідок каліцтва чи іншого ушкодження здоров’я, втрати годувальника тощо може бути пред’явлено </w:t>
      </w:r>
      <w:r w:rsidRPr="00D26A25">
        <w:rPr>
          <w:color w:val="000000"/>
          <w:sz w:val="28"/>
          <w:szCs w:val="28"/>
          <w:u w:val="single"/>
        </w:rPr>
        <w:t>до виконання протягом усього періоду, на який присуджені платежі (стаття 12 Закону).</w:t>
      </w:r>
    </w:p>
    <w:p w:rsidR="00D26A25" w:rsidRPr="00D26A25" w:rsidRDefault="00D26A25" w:rsidP="00D26A25">
      <w:pPr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>Заходи примусового виконання рішень визначені статтею 10 Закону.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Відомості про боржника при примусовому виконанні вносяться до Єдиного реєстру боржників за виконавчим документом про стягнення періодичних платежів у разі наявної заборгованості більше трьох місяців.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Разом з тим одним із визначених законодавцем важелів впливу на дотримання вимог закону та виконання відповідного рішення суду (іншого органу) є обмеження, визначені частиною дев'ятою статті 71 Закону.</w:t>
      </w:r>
    </w:p>
    <w:p w:rsid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Так, за наявності заборгованості зі сплати аліментів, сукупний розмір якої перевищує суму відповідних платежів за чотири місяці, державний виконавець виносить вмотивовані постанови:</w:t>
      </w:r>
    </w:p>
    <w:p w:rsid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26A25">
        <w:rPr>
          <w:color w:val="000000"/>
          <w:sz w:val="28"/>
          <w:szCs w:val="28"/>
        </w:rPr>
        <w:t>про встановлення тимчасового обмеження боржника у праві виїзду за межі України - до погашення заборгованості зі сплати аліментів у повному обсязі;</w:t>
      </w:r>
    </w:p>
    <w:p w:rsid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26A25">
        <w:rPr>
          <w:color w:val="000000"/>
          <w:sz w:val="28"/>
          <w:szCs w:val="28"/>
        </w:rPr>
        <w:t>про встановлення тимчасового обмеження боржника у праві керування транспортними засобами - до погашення заборгованості зі сплати аліментів у повному обсязі;</w:t>
      </w:r>
    </w:p>
    <w:p w:rsid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26A25">
        <w:rPr>
          <w:color w:val="000000"/>
          <w:sz w:val="28"/>
          <w:szCs w:val="28"/>
        </w:rPr>
        <w:t xml:space="preserve">про встановлення тимчасового обмеження боржника у праві користування вогнепальною мисливською, пневматичною зброєю, пристроями вітчизняного </w:t>
      </w:r>
      <w:r w:rsidRPr="00D26A25">
        <w:rPr>
          <w:color w:val="000000"/>
          <w:sz w:val="28"/>
          <w:szCs w:val="28"/>
        </w:rPr>
        <w:lastRenderedPageBreak/>
        <w:t>виробництва для відстрілу патронів, споряджених гумовими чи аналогічними за своїми властивостями метальними снарядами несмертельної дії, - до погашення заборгованості зі сплати аліментів у повному обсязі;</w:t>
      </w:r>
    </w:p>
    <w:p w:rsidR="00D26A25" w:rsidRP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D26A25">
        <w:rPr>
          <w:color w:val="000000"/>
          <w:sz w:val="28"/>
          <w:szCs w:val="28"/>
        </w:rPr>
        <w:t>про встановлення тимчасового обмеження боржника у праві полювання - до погашення заборгованості зі сплати аліментів у повному обсязі.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Якщо аліменти сплачуються на утримання дитини з інвалідністю, дитини, яка хворіє на тяжкі </w:t>
      </w:r>
      <w:proofErr w:type="spellStart"/>
      <w:r w:rsidRPr="00D26A25">
        <w:rPr>
          <w:color w:val="000000"/>
          <w:sz w:val="28"/>
          <w:szCs w:val="28"/>
        </w:rPr>
        <w:t>перинатальні</w:t>
      </w:r>
      <w:proofErr w:type="spellEnd"/>
      <w:r w:rsidRPr="00D26A25">
        <w:rPr>
          <w:color w:val="000000"/>
          <w:sz w:val="28"/>
          <w:szCs w:val="28"/>
        </w:rPr>
        <w:t xml:space="preserve"> ураження нервової системи, тяжкі вроджені вади розвитку, рідкісне </w:t>
      </w:r>
      <w:proofErr w:type="spellStart"/>
      <w:r w:rsidRPr="00D26A25">
        <w:rPr>
          <w:color w:val="000000"/>
          <w:sz w:val="28"/>
          <w:szCs w:val="28"/>
        </w:rPr>
        <w:t>орфанне</w:t>
      </w:r>
      <w:proofErr w:type="spellEnd"/>
      <w:r w:rsidRPr="00D26A25">
        <w:rPr>
          <w:color w:val="000000"/>
          <w:sz w:val="28"/>
          <w:szCs w:val="28"/>
        </w:rPr>
        <w:t xml:space="preserve"> захворювання, онкологічні, </w:t>
      </w:r>
      <w:proofErr w:type="spellStart"/>
      <w:r w:rsidRPr="00D26A25">
        <w:rPr>
          <w:color w:val="000000"/>
          <w:sz w:val="28"/>
          <w:szCs w:val="28"/>
        </w:rPr>
        <w:t>онкогематологічні</w:t>
      </w:r>
      <w:proofErr w:type="spellEnd"/>
      <w:r w:rsidRPr="00D26A25">
        <w:rPr>
          <w:color w:val="000000"/>
          <w:sz w:val="28"/>
          <w:szCs w:val="28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</w:t>
      </w:r>
      <w:proofErr w:type="spellStart"/>
      <w:r w:rsidRPr="00D26A25">
        <w:rPr>
          <w:color w:val="000000"/>
          <w:sz w:val="28"/>
          <w:szCs w:val="28"/>
        </w:rPr>
        <w:t>органа</w:t>
      </w:r>
      <w:proofErr w:type="spellEnd"/>
      <w:r w:rsidRPr="00D26A25">
        <w:rPr>
          <w:color w:val="000000"/>
          <w:sz w:val="28"/>
          <w:szCs w:val="28"/>
        </w:rPr>
        <w:t>, потребує паліативної допомоги, постанови, зазначені у пунктах 1-4 цієї частини, виносяться державним виконавцем за наявності заборгованості зі сплати аліментів, сукупний розмір якої перевищує суму відповідних платежів за три місяці.</w:t>
      </w:r>
    </w:p>
    <w:p w:rsidR="00D26A25" w:rsidRPr="00D26A25" w:rsidRDefault="00D26A25" w:rsidP="00D26A25">
      <w:pPr>
        <w:rPr>
          <w:sz w:val="28"/>
          <w:szCs w:val="28"/>
        </w:rPr>
      </w:pPr>
    </w:p>
    <w:p w:rsidR="00D26A25" w:rsidRPr="00D26A25" w:rsidRDefault="00D26A25" w:rsidP="00D26A25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26A2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Державний виконавець </w:t>
      </w:r>
    </w:p>
    <w:p w:rsidR="00D26A25" w:rsidRPr="00D26A25" w:rsidRDefault="00D26A25" w:rsidP="00D2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Дніпровського районного відділу </w:t>
      </w:r>
    </w:p>
    <w:p w:rsidR="00D26A25" w:rsidRPr="00D26A25" w:rsidRDefault="00D26A25" w:rsidP="00D2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державної виконавчої служби міста Київ </w:t>
      </w:r>
    </w:p>
    <w:p w:rsidR="00D26A25" w:rsidRPr="00D26A25" w:rsidRDefault="00D26A25" w:rsidP="00D2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</w:p>
    <w:p w:rsidR="002518E6" w:rsidRPr="00D26A25" w:rsidRDefault="00D26A25" w:rsidP="00D26A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>управління юстиції у місті Києві</w:t>
      </w:r>
      <w:r w:rsidRPr="00D26A2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— Воротнікову Анну Сергіївну.</w:t>
      </w:r>
    </w:p>
    <w:sectPr w:rsidR="002518E6" w:rsidRPr="00D26A25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CCD"/>
    <w:multiLevelType w:val="multilevel"/>
    <w:tmpl w:val="9162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11CAC"/>
    <w:multiLevelType w:val="multilevel"/>
    <w:tmpl w:val="6CE4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25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5E3C8A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36FFC"/>
    <w:rsid w:val="00C8078A"/>
    <w:rsid w:val="00CC2DCC"/>
    <w:rsid w:val="00D03DB5"/>
    <w:rsid w:val="00D10F72"/>
    <w:rsid w:val="00D26A25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7F4F0-9924-4C53-93F0-3BC2A67D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A25"/>
    <w:rPr>
      <w:color w:val="000080"/>
      <w:u w:val="single"/>
    </w:rPr>
  </w:style>
  <w:style w:type="character" w:styleId="a4">
    <w:name w:val="Emphasis"/>
    <w:basedOn w:val="a0"/>
    <w:uiPriority w:val="20"/>
    <w:qFormat/>
    <w:rsid w:val="00D26A25"/>
    <w:rPr>
      <w:i/>
      <w:iCs/>
    </w:rPr>
  </w:style>
  <w:style w:type="character" w:styleId="a5">
    <w:name w:val="Strong"/>
    <w:basedOn w:val="a0"/>
    <w:uiPriority w:val="22"/>
    <w:qFormat/>
    <w:rsid w:val="00D26A25"/>
    <w:rPr>
      <w:b/>
      <w:bCs/>
    </w:rPr>
  </w:style>
  <w:style w:type="paragraph" w:styleId="a6">
    <w:name w:val="Normal (Web)"/>
    <w:basedOn w:val="a"/>
    <w:uiPriority w:val="99"/>
    <w:semiHidden/>
    <w:unhideWhenUsed/>
    <w:rsid w:val="00D26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Тюмин</cp:lastModifiedBy>
  <cp:revision>2</cp:revision>
  <dcterms:created xsi:type="dcterms:W3CDTF">2019-07-04T07:31:00Z</dcterms:created>
  <dcterms:modified xsi:type="dcterms:W3CDTF">2019-07-04T07:31:00Z</dcterms:modified>
</cp:coreProperties>
</file>